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p w:rsidR="00A77B3E"/>
    <w:p w:rsidR="00A77B3E">
      <w:pPr>
        <w:pStyle w:val="1"/>
      </w:pPr>
    </w:p>
    <w:p w:rsidR="00A77B3E">
      <w:pPr>
        <w:pStyle w:val="1"/>
      </w:pPr>
    </w:p>
    <w:p w:rsidR="00A77B3E">
      <w:pPr>
        <w:pStyle w:val="1"/>
      </w:pPr>
    </w:p>
    <w:p w:rsidR="00A77B3E">
      <w:pPr>
        <w:pStyle w:val="2"/>
      </w:pPr>
      <w:r>
        <w:t>362</w:t>
      </w:r>
    </w:p>
    <w:p w:rsidR="00A77B3E">
      <w:pPr>
        <w:pStyle w:val="3"/>
      </w:pPr>
      <w:r>
        <w:t>VYHLÁŠKA</w:t>
      </w:r>
    </w:p>
    <w:p w:rsidR="00A77B3E">
      <w:pPr>
        <w:pStyle w:val="4"/>
      </w:pPr>
      <w:r>
        <w:t>ze dne 17. října 2016</w:t>
      </w:r>
    </w:p>
    <w:p w:rsidR="00A77B3E">
      <w:pPr>
        <w:pStyle w:val="5"/>
      </w:pPr>
      <w:r>
        <w:t>o podmínkách poskytnutí dotace ze státního rozpočtu v některých existujících expozičních situacích</w:t>
      </w:r>
    </w:p>
    <w:p w:rsidR="00A77B3E">
      <w:pPr>
        <w:pStyle w:val="6"/>
      </w:pPr>
      <w:r>
        <w:t xml:space="preserve">Státní úřad pro jadernou bezpečnost stanoví podle </w:t>
      </w:r>
      <w:r>
        <w:t>§ 236</w:t>
      </w:r>
      <w:r>
        <w:t xml:space="preserve"> </w:t>
      </w:r>
      <w:r>
        <w:t>zákona č. 263/2016 Sb., atomový zákon</w:t>
      </w:r>
      <w:r>
        <w:t xml:space="preserve">, k provedení </w:t>
      </w:r>
      <w:r>
        <w:t>§ 103 odst. 6 písm. a)</w:t>
      </w:r>
      <w:r>
        <w:t>:</w:t>
      </w:r>
    </w:p>
    <w:p w:rsidR="00A77B3E">
      <w:pPr>
        <w:pStyle w:val="1"/>
      </w:pPr>
    </w:p>
    <w:p w:rsidR="00A77B3E">
      <w:pPr>
        <w:pStyle w:val="7"/>
      </w:pPr>
      <w:r>
        <w:t>§ 1</w:t>
      </w:r>
    </w:p>
    <w:p w:rsidR="00A77B3E">
      <w:pPr>
        <w:pStyle w:val="8"/>
      </w:pPr>
      <w:r>
        <w:t>Tato vyhláška zapracovává příslušné předpisy Euratomu</w:t>
      </w:r>
      <w:r>
        <w:rPr>
          <w:vertAlign w:val="superscript"/>
        </w:rPr>
        <w:t>1</w:t>
      </w:r>
      <w:r>
        <w:t>)</w:t>
      </w:r>
      <w:r>
        <w:t xml:space="preserve"> a upravuje podmínky poskytnutí dotace ze státního rozpočtu na</w:t>
      </w:r>
    </w:p>
    <w:p w:rsidR="00A77B3E">
      <w:pPr>
        <w:pStyle w:val="9"/>
      </w:pPr>
      <w:r>
        <w:t>a)</w:t>
      </w:r>
      <w:r>
        <w:t xml:space="preserve">   přijetí odůvodněného opatření, které snižuje míru </w:t>
      </w:r>
      <w:r>
        <w:t>ozáření</w:t>
      </w:r>
      <w:r>
        <w:t xml:space="preserve"> z přítomnosti radonu a jeho produktů přeměny ve vnitřním ovzduší staveb pro bydlení a pobyt veřejnosti, a</w:t>
      </w:r>
    </w:p>
    <w:p w:rsidR="00A77B3E">
      <w:pPr>
        <w:pStyle w:val="10"/>
      </w:pPr>
      <w:r>
        <w:t>b)</w:t>
      </w:r>
      <w:r>
        <w:t>   přijetí opatření, která snižují obsah přírodních radionuklidů v pitné vodě určené pro veřejnou potřebu.</w:t>
      </w:r>
    </w:p>
    <w:p w:rsidR="00A77B3E">
      <w:pPr>
        <w:pStyle w:val="7"/>
      </w:pPr>
      <w:r>
        <w:t>§ 2</w:t>
      </w:r>
    </w:p>
    <w:p w:rsidR="00A77B3E">
      <w:pPr>
        <w:pStyle w:val="11"/>
      </w:pPr>
      <w:r>
        <w:t>(1)</w:t>
      </w:r>
      <w:r>
        <w:t xml:space="preserve">   Dotaci na přijetí odůvodněného opatření, které snižuje míru </w:t>
      </w:r>
      <w:r>
        <w:t>ozáření</w:t>
      </w:r>
      <w:r>
        <w:t xml:space="preserve"> z přítomnosti radonu a jeho produktů přeměny ve vnitřním ovzduší staveb pro bydlení a pobyt veřejnosti, lze poskytnout vlastníkovi</w:t>
      </w:r>
    </w:p>
    <w:p w:rsidR="00A77B3E">
      <w:pPr>
        <w:pStyle w:val="12"/>
      </w:pPr>
      <w:r>
        <w:t>a)</w:t>
      </w:r>
      <w:r>
        <w:t>   bytu v bytovém domě nebo rodinném domě, nebo rodinného domu, které jsou užívány k trvalému bydlení a k jejichž výstavbě bylo vydáno stavební povolení nebo svým obsahem podobné povolení do 28. února 1991 (dále jen „povolení“), jestliže průměr naměřených hodnot objemové aktivity radonu ze všech obytných místností a kuchyní je za obvyklého užívání dlouhodobě vyšší než 1 000 Bq/m</w:t>
      </w:r>
      <w:r>
        <w:rPr>
          <w:vertAlign w:val="superscript"/>
        </w:rPr>
        <w:t>3</w:t>
      </w:r>
      <w:r>
        <w:t>,</w:t>
      </w:r>
    </w:p>
    <w:p w:rsidR="00A77B3E">
      <w:pPr>
        <w:pStyle w:val="13"/>
      </w:pPr>
      <w:r>
        <w:rPr>
          <w:rStyle w:val="diff-text-green"/>
          <w:rFonts w:ascii="Times New Roman" w:eastAsia="Times New Roman" w:hAnsi="Times New Roman" w:cs="Times New Roman"/>
          <w:b/>
          <w:bCs/>
          <w:color w:val="009A00"/>
        </w:rPr>
        <w:t>b)</w:t>
      </w:r>
      <w:r>
        <w:t>   </w:t>
      </w:r>
      <w:r>
        <w:rPr>
          <w:rStyle w:val="diff-text-green"/>
          <w:rFonts w:ascii="Times New Roman" w:eastAsia="Times New Roman" w:hAnsi="Times New Roman" w:cs="Times New Roman"/>
          <w:b/>
          <w:bCs/>
          <w:color w:val="009A00"/>
        </w:rPr>
        <w:t>bytu v bytovém domě nebo rodinném domě, nebo rodinného domu, které jsou užívány k trvalému bydlení a k jejichž výstavbě bylo vydáno stavební povolení, jestliže maximální průměr prostorového dávkového ekvivalentu je vyšší než 1 mikroSv/hod a současně průměr naměřených hodnot objemové aktivity radonu ze všech obytných místností s kuchyní je za obvyklého užívání dlouhodobě vyšší než 500 Bq/m</w:t>
      </w:r>
      <w:r>
        <w:rPr>
          <w:rStyle w:val="diff-text-green"/>
          <w:rFonts w:ascii="Times New Roman" w:eastAsia="Times New Roman" w:hAnsi="Times New Roman" w:cs="Times New Roman"/>
          <w:b/>
          <w:bCs/>
          <w:color w:val="009A00"/>
          <w:vertAlign w:val="superscript"/>
        </w:rPr>
        <w:t>3</w:t>
      </w:r>
      <w:r>
        <w:rPr>
          <w:rStyle w:val="diff-text-green"/>
          <w:rFonts w:ascii="Times New Roman" w:eastAsia="Times New Roman" w:hAnsi="Times New Roman" w:cs="Times New Roman"/>
          <w:b/>
          <w:bCs/>
          <w:color w:val="009A00"/>
        </w:rPr>
        <w:t>,</w:t>
      </w:r>
    </w:p>
    <w:p w:rsidR="00A77B3E">
      <w:pPr>
        <w:pStyle w:val="13"/>
      </w:pPr>
      <w:r>
        <w:rPr>
          <w:rStyle w:val="diff-strike-green"/>
          <w:strike/>
          <w:color w:val="009A00"/>
        </w:rPr>
        <w:t>b)</w:t>
      </w:r>
      <w:r>
        <w:rPr>
          <w:rStyle w:val="diff-text-green"/>
          <w:rFonts w:ascii="Times New Roman" w:eastAsia="Times New Roman" w:hAnsi="Times New Roman" w:cs="Times New Roman"/>
          <w:b/>
          <w:bCs/>
          <w:color w:val="009A00"/>
        </w:rPr>
        <w:t>c)</w:t>
      </w:r>
      <w:r>
        <w:t>   budovy školy, budovy školského zařízení nebo budovy sloužící pro zabezpečení sociálních nebo zdravotních služeb při dlouhodobém pobytu dětí do 18 let, k jejichž výstavbě bylo vydáno povolení, jestliže v ovzduší některé místnosti určené k pobytu dětí do 18 let dosáhl průměr naměřených hodnot objemové aktivity radonu v době jejich pobytu hodnoty vyšší než 300 Bq/m</w:t>
      </w:r>
      <w:r>
        <w:rPr>
          <w:vertAlign w:val="superscript"/>
        </w:rPr>
        <w:t>3</w:t>
      </w:r>
      <w:r>
        <w:t>, nebo</w:t>
      </w:r>
    </w:p>
    <w:p w:rsidR="00A77B3E">
      <w:pPr>
        <w:pStyle w:val="14"/>
      </w:pPr>
      <w:r>
        <w:rPr>
          <w:rStyle w:val="diff-strike-green"/>
          <w:strike/>
          <w:color w:val="009A00"/>
        </w:rPr>
        <w:t>c)</w:t>
      </w:r>
      <w:r>
        <w:rPr>
          <w:rStyle w:val="diff-text-green"/>
          <w:rFonts w:ascii="Times New Roman" w:eastAsia="Times New Roman" w:hAnsi="Times New Roman" w:cs="Times New Roman"/>
          <w:b/>
          <w:bCs/>
          <w:color w:val="009A00"/>
        </w:rPr>
        <w:t>d)</w:t>
      </w:r>
      <w:r>
        <w:t xml:space="preserve">   budovy sloužící pro zabezpečení sociálních nebo zdravotních služeb při dlouhodobém pobytu osob, kterým jsou tyto služby poskytovány, neuvedené v </w:t>
      </w:r>
      <w:r>
        <w:t>písmenu</w:t>
      </w:r>
      <w:r>
        <w:t xml:space="preserve"> </w:t>
      </w:r>
      <w:r>
        <w:rPr>
          <w:rStyle w:val="diff-strike-green"/>
          <w:strike/>
          <w:color w:val="009A00"/>
        </w:rPr>
        <w:t>b)</w:t>
      </w:r>
      <w:r>
        <w:t xml:space="preserve"> </w:t>
      </w:r>
      <w:r>
        <w:rPr>
          <w:rStyle w:val="diff-text-green"/>
          <w:rFonts w:ascii="Times New Roman" w:eastAsia="Times New Roman" w:hAnsi="Times New Roman" w:cs="Times New Roman"/>
          <w:b/>
          <w:bCs/>
          <w:color w:val="009A00"/>
        </w:rPr>
        <w:t>c)</w:t>
      </w:r>
      <w:r>
        <w:t>, k jejíž výstavbě bylo vydáno povolení, jestliže v ovzduší některé místnosti při pobytu těchto osob dosáhl dlouhodobý průměr naměřených hodnot objemové aktivity radonu za obvyklého užívání hodnoty vyšší než 1 000 Bq/m</w:t>
      </w:r>
      <w:r>
        <w:rPr>
          <w:vertAlign w:val="superscript"/>
        </w:rPr>
        <w:t>3</w:t>
      </w:r>
      <w:r>
        <w:t>.</w:t>
      </w:r>
    </w:p>
    <w:p w:rsidR="00A77B3E">
      <w:pPr>
        <w:pStyle w:val="11"/>
      </w:pPr>
      <w:r>
        <w:t>(2)</w:t>
      </w:r>
      <w:r>
        <w:t xml:space="preserve">   Dotaci podle </w:t>
      </w:r>
      <w:r>
        <w:t>odstavce 1</w:t>
      </w:r>
      <w:r>
        <w:t xml:space="preserve"> lze poskytnout za podmínky, že provedeným opatřením došlo ke snížení obsahu radonu v ovzduší stavby pod </w:t>
      </w:r>
      <w:r>
        <w:t>referenční úroveň</w:t>
      </w:r>
      <w:r>
        <w:t xml:space="preserve"> 300 Bq/m</w:t>
      </w:r>
      <w:r>
        <w:rPr>
          <w:vertAlign w:val="superscript"/>
        </w:rPr>
        <w:t>3</w:t>
      </w:r>
      <w:r>
        <w:t xml:space="preserve"> nebo alespoň o 75 % původní hodnoty.</w:t>
      </w:r>
    </w:p>
    <w:p w:rsidR="00A77B3E">
      <w:pPr>
        <w:pStyle w:val="7"/>
      </w:pPr>
      <w:r>
        <w:t>§ 3</w:t>
      </w:r>
    </w:p>
    <w:p w:rsidR="00A77B3E">
      <w:pPr>
        <w:pStyle w:val="15"/>
      </w:pPr>
      <w:r>
        <w:t>(1)</w:t>
      </w:r>
      <w:r>
        <w:t xml:space="preserve">   Dotaci na přijetí opatření, která snižují obsah přírodních radionuklidů v pitné vodě určené pro veřejnou potřebu, lze poskytnout vlastníkovi vodovodu pro veřejnou potřebu, jestliže obsah přírodních radionuklidů ve vodě dodávané tímto vodovodem překročil nejvyšší přípustnou hodnotu stanovenou vyhláškou o </w:t>
      </w:r>
      <w:r>
        <w:t>radiační ochraně</w:t>
      </w:r>
      <w:r>
        <w:t xml:space="preserve"> a zabezpečení </w:t>
      </w:r>
      <w:r>
        <w:t>radionuklidového zdroje</w:t>
      </w:r>
      <w:r>
        <w:t xml:space="preserve">, při jejímž překročení nesmí být podle </w:t>
      </w:r>
      <w:r>
        <w:t>§ 100 odst. 1 písm. a)</w:t>
      </w:r>
      <w:r>
        <w:t xml:space="preserve"> </w:t>
      </w:r>
      <w:r>
        <w:t>atomového zákona</w:t>
      </w:r>
      <w:r>
        <w:t xml:space="preserve"> pitná voda dodávána pro veřejnou potřebu.</w:t>
      </w:r>
    </w:p>
    <w:p w:rsidR="00A77B3E">
      <w:pPr>
        <w:pStyle w:val="16"/>
      </w:pPr>
      <w:r>
        <w:t>(2)</w:t>
      </w:r>
      <w:r>
        <w:t xml:space="preserve">   Dotaci podle </w:t>
      </w:r>
      <w:r>
        <w:t>odstavce 1</w:t>
      </w:r>
      <w:r>
        <w:t xml:space="preserve"> lze poskytnout za podmínky, že provedeným opatřením došlo ke snížení obsahu přírodních radionuklidů pod </w:t>
      </w:r>
      <w:r>
        <w:t>referenční úroveň</w:t>
      </w:r>
      <w:r>
        <w:t xml:space="preserve"> stanovenou vyhláškou o </w:t>
      </w:r>
      <w:r>
        <w:t>radiační ochraně</w:t>
      </w:r>
      <w:r>
        <w:t xml:space="preserve"> a zabezpečení </w:t>
      </w:r>
      <w:r>
        <w:t>radionuklidového zdroje</w:t>
      </w:r>
      <w:r>
        <w:t xml:space="preserve">, při jejímž překročení nesmí být podle </w:t>
      </w:r>
      <w:r>
        <w:t>§ 100 odst. 1 písm. b)</w:t>
      </w:r>
      <w:r>
        <w:t xml:space="preserve"> </w:t>
      </w:r>
      <w:r>
        <w:t>atomového zákona</w:t>
      </w:r>
      <w:r>
        <w:t xml:space="preserve"> pitná voda dodávána pro veřejnou potřebu.</w:t>
      </w:r>
    </w:p>
    <w:p w:rsidR="00A77B3E">
      <w:pPr>
        <w:pStyle w:val="7"/>
      </w:pPr>
      <w:r>
        <w:t>§ 4</w:t>
      </w:r>
    </w:p>
    <w:p w:rsidR="00A77B3E">
      <w:pPr>
        <w:pStyle w:val="1"/>
      </w:pPr>
    </w:p>
    <w:p w:rsidR="00A77B3E">
      <w:pPr>
        <w:pStyle w:val="8"/>
      </w:pPr>
      <w:r>
        <w:t>Tato vyhláška nabývá účinnosti dnem 1. ledna 2017.</w:t>
      </w:r>
    </w:p>
    <w:p w:rsidR="00A77B3E">
      <w:pPr>
        <w:pStyle w:val="1"/>
      </w:pPr>
    </w:p>
    <w:p w:rsidR="00A77B3E">
      <w:pPr>
        <w:pStyle w:val="17"/>
      </w:pPr>
      <w:r>
        <w:t>Předsedkyně:</w:t>
      </w:r>
    </w:p>
    <w:p w:rsidR="00A77B3E">
      <w:pPr>
        <w:pStyle w:val="18"/>
      </w:pPr>
      <w:r>
        <w:t>Ing. Drábová, Ph.D., v. r.</w:t>
      </w:r>
    </w:p>
    <w:p w:rsidR="00A77B3E">
      <w:pPr>
        <w:pStyle w:val="19"/>
      </w:pPr>
    </w:p>
    <w:p w:rsidR="00A77B3E">
      <w:pPr>
        <w:pStyle w:val="20"/>
      </w:pPr>
      <w:r>
        <w:rPr>
          <w:vertAlign w:val="superscript"/>
        </w:rPr>
        <w:t>1</w:t>
      </w:r>
      <w:r>
        <w:t>)</w:t>
      </w:r>
      <w:r>
        <w:t xml:space="preserve">   Směrnice Rady </w:t>
      </w:r>
      <w:r>
        <w:t>2013/59/Euratom</w:t>
      </w:r>
      <w:r>
        <w:t xml:space="preserve"> ze dne 5. prosince 2013, kterou se stanoví základní bezpečnostní standardy ochrany před nebezpečím vystavení ionizujícímu záření a zrušují se směrnice </w:t>
      </w:r>
      <w:r>
        <w:t>89/618/Euratom</w:t>
      </w:r>
      <w:r>
        <w:t xml:space="preserve">, </w:t>
      </w:r>
      <w:r>
        <w:t>90/641/Euratom</w:t>
      </w:r>
      <w:r>
        <w:t>, 96/29/Euratom, 97/43/Euratom a 2003/122/Euratom.</w:t>
      </w:r>
      <w:r>
        <w:br/>
      </w:r>
      <w:r>
        <w:t xml:space="preserve">Směrnice Rady </w:t>
      </w:r>
      <w:r>
        <w:t>2013/51/Euratom</w:t>
      </w:r>
      <w:r>
        <w:t xml:space="preserve"> ze dne 22. října 2013, kterou se stanoví požadavky na ochranu zdraví obyvatelstva, pokud jde o radioaktivní látky ve vodě určené k lidské spotřebě.</w:t>
      </w:r>
    </w:p>
    <w:sectPr>
      <w:headerReference w:type="even" r:id="rId4"/>
      <w:headerReference w:type="default" r:id="rId5"/>
      <w:pgSz w:w="12240" w:h="15840"/>
      <w:pgMar w:top="1417" w:right="1417" w:bottom="1417" w:left="1417" w:header="400" w:footer="708" w:gutter="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9406"/>
    </w:tblGrid>
    <w:tr>
      <w:tblPrEx>
        <w:tblW w:w="5000" w:type="pct"/>
      </w:tblPrEx>
      <w:tc>
        <w:tcPr/>
        <w:p>
          <w:pPr>
            <w:pStyle w:val="HlavickaZlutyText"/>
            <w:jc w:val="center"/>
          </w:pPr>
        </w:p>
      </w:tc>
    </w:tr>
    <w:tr>
      <w:tblPrEx>
        <w:tblW w:w="5000" w:type="pct"/>
      </w:tblPrEx>
      <w:tc>
        <w:tcPr/>
        <w:p>
          <w:pPr>
            <w:pStyle w:val="Hlavicka"/>
            <w:jc w:val="center"/>
          </w:pPr>
        </w:p>
      </w:tc>
    </w:tr>
  </w:tbl>
  <w:p>
    <w:pPr>
      <w:pStyle w:val="Hlavic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5000" w:type="pct"/>
      <w:tblCellMar>
        <w:left w:w="108" w:type="dxa"/>
        <w:right w:w="108" w:type="dxa"/>
      </w:tblCellMar>
    </w:tblPr>
    <w:tblGrid>
      <w:gridCol w:w="9406"/>
    </w:tblGrid>
    <w:tr>
      <w:tblPrEx>
        <w:tblW w:w="5000" w:type="pct"/>
      </w:tblPrEx>
      <w:tc>
        <w:tcPr/>
        <w:p>
          <w:pPr>
            <w:pStyle w:val="HlavickaZlutyText"/>
            <w:jc w:val="center"/>
          </w:pPr>
        </w:p>
      </w:tc>
    </w:tr>
    <w:tr>
      <w:tblPrEx>
        <w:tblW w:w="5000" w:type="pct"/>
      </w:tblPrEx>
      <w:tc>
        <w:tcPr/>
        <w:p>
          <w:pPr>
            <w:pStyle w:val="Hlavicka"/>
            <w:jc w:val="left"/>
          </w:pPr>
        </w:p>
      </w:tc>
    </w:tr>
  </w:tbl>
  <w:p>
    <w:pPr>
      <w:pStyle w:val="Hlavic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evenAndOddHeaders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lavicka">
    <w:name w:val="Hlavicka"/>
    <w:rPr>
      <w:i/>
      <w:sz w:val="20"/>
    </w:rPr>
  </w:style>
  <w:style w:type="paragraph" w:customStyle="1" w:styleId="HlavickaZlutyText">
    <w:name w:val="HlavickaZlutyText"/>
    <w:rPr>
      <w:i w:val="0"/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konec">
    <w:name w:val="Varianta_konec"/>
    <w:pPr>
      <w:pBdr>
        <w:bottom w:val="single" w:sz="8" w:space="0" w:color="80008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start">
    <w:name w:val="Ucinnost_start"/>
    <w:pPr>
      <w:pBdr>
        <w:top w:val="single" w:sz="8" w:space="0" w:color="8B000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konec">
    <w:name w:val="Ucinnost_konec"/>
    <w:pPr>
      <w:pBdr>
        <w:bottom w:val="single" w:sz="8" w:space="0" w:color="8B0000"/>
      </w:pBdr>
      <w:spacing w:before="0" w:after="10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Celex">
    <w:name w:val="Celex"/>
    <w:pPr>
      <w:spacing w:before="120" w:after="120"/>
      <w:jc w:val="left"/>
    </w:pPr>
    <w:rPr>
      <w:rFonts w:ascii="Times New Roman" w:eastAsia="Times New Roman" w:hAnsi="Times New Roman" w:cs="Times New Roman"/>
      <w:i/>
      <w:sz w:val="20"/>
    </w:rPr>
  </w:style>
  <w:style w:type="paragraph" w:customStyle="1" w:styleId="Pripominkystart">
    <w:name w:val="Pripominky_start"/>
    <w:pPr>
      <w:pBdr>
        <w:top w:val="single" w:sz="8" w:space="0" w:color="87CEFA"/>
      </w:pBdr>
      <w:spacing w:before="0" w:after="10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">
    <w:name w:val="1"/>
    <w:pPr>
      <w:spacing w:before="11" w:after="0"/>
      <w:ind w:right="0"/>
      <w:jc w:val="left"/>
    </w:pPr>
    <w:rPr>
      <w:rFonts w:ascii="Times New Roman" w:eastAsia="Times New Roman" w:hAnsi="Times New Roman" w:cs="Times New Roman"/>
      <w:sz w:val="0"/>
    </w:rPr>
  </w:style>
  <w:style w:type="paragraph" w:customStyle="1" w:styleId="2">
    <w:name w:val="2"/>
    <w:pPr>
      <w:spacing w:before="57" w:after="227"/>
      <w:ind w:right="0"/>
      <w:jc w:val="center"/>
    </w:pPr>
    <w:rPr>
      <w:rFonts w:ascii="Times New Roman" w:eastAsia="Times New Roman" w:hAnsi="Times New Roman" w:cs="Times New Roman"/>
      <w:b/>
      <w:sz w:val="32"/>
    </w:rPr>
  </w:style>
  <w:style w:type="paragraph" w:customStyle="1" w:styleId="3">
    <w:name w:val="3"/>
    <w:pPr>
      <w:spacing w:before="0" w:after="0"/>
      <w:ind w:left="680" w:right="680"/>
      <w:jc w:val="center"/>
    </w:pPr>
    <w:rPr>
      <w:rFonts w:ascii="Times New Roman" w:eastAsia="Times New Roman" w:hAnsi="Times New Roman" w:cs="Times New Roman"/>
      <w:b/>
      <w:caps/>
      <w:sz w:val="32"/>
    </w:rPr>
  </w:style>
  <w:style w:type="paragraph" w:customStyle="1" w:styleId="4">
    <w:name w:val="4"/>
    <w:pPr>
      <w:spacing w:before="0" w:after="170"/>
      <w:ind w:left="850" w:right="850"/>
      <w:jc w:val="center"/>
    </w:pPr>
    <w:rPr>
      <w:rFonts w:ascii="Times New Roman" w:eastAsia="Times New Roman" w:hAnsi="Times New Roman" w:cs="Times New Roman"/>
      <w:b/>
      <w:sz w:val="28"/>
    </w:rPr>
  </w:style>
  <w:style w:type="paragraph" w:customStyle="1" w:styleId="5">
    <w:name w:val="5"/>
    <w:pPr>
      <w:spacing w:before="340" w:after="113"/>
      <w:ind w:left="850" w:right="850"/>
      <w:jc w:val="center"/>
    </w:pPr>
    <w:rPr>
      <w:rFonts w:ascii="Times New Roman" w:eastAsia="Times New Roman" w:hAnsi="Times New Roman" w:cs="Times New Roman"/>
      <w:b/>
      <w:sz w:val="34"/>
    </w:rPr>
  </w:style>
  <w:style w:type="paragraph" w:customStyle="1" w:styleId="6">
    <w:name w:val="6"/>
    <w:pPr>
      <w:spacing w:before="283" w:after="340"/>
      <w:ind w:right="0"/>
      <w:jc w:val="left"/>
    </w:pPr>
    <w:rPr>
      <w:rFonts w:ascii="Times New Roman" w:eastAsia="Times New Roman" w:hAnsi="Times New Roman" w:cs="Times New Roman"/>
      <w:sz w:val="30"/>
    </w:rPr>
  </w:style>
  <w:style w:type="paragraph" w:customStyle="1" w:styleId="7">
    <w:name w:val="7"/>
    <w:pPr>
      <w:overflowPunct/>
      <w:spacing w:before="227" w:after="113"/>
      <w:ind w:left="0" w:right="0" w:firstLine="0"/>
      <w:jc w:val="center"/>
    </w:pPr>
    <w:rPr>
      <w:rFonts w:ascii="Times New Roman" w:eastAsia="Times New Roman" w:hAnsi="Times New Roman" w:cs="Times New Roman"/>
      <w:sz w:val="28"/>
    </w:rPr>
  </w:style>
  <w:style w:type="paragraph" w:customStyle="1" w:styleId="8">
    <w:name w:val="8"/>
    <w:pPr>
      <w:spacing w:before="0" w:after="57"/>
      <w:ind w:right="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9">
    <w:name w:val="9"/>
    <w:pPr>
      <w:overflowPunct/>
      <w:spacing w:before="0" w:after="57"/>
      <w:ind w:left="680" w:right="0" w:hanging="34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9start">
    <w:name w:val="Varianta_9_start"/>
    <w:pPr>
      <w:pBdr>
        <w:top w:val="single" w:sz="8" w:space="0" w:color="800080"/>
      </w:pBdr>
      <w:spacing w:before="0" w:after="100"/>
      <w:ind w:left="68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9konec">
    <w:name w:val="Varianta_9_konec"/>
    <w:pPr>
      <w:pBdr>
        <w:bottom w:val="single" w:sz="8" w:space="0" w:color="800080"/>
      </w:pBdr>
      <w:spacing w:before="0" w:after="100"/>
      <w:ind w:left="68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9start">
    <w:name w:val="Ucinnost_9_start"/>
    <w:pPr>
      <w:pBdr>
        <w:top w:val="single" w:sz="8" w:space="0" w:color="8B0000"/>
      </w:pBdr>
      <w:spacing w:before="0" w:after="100"/>
      <w:ind w:left="68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9konec">
    <w:name w:val="Ucinnost_9_konec"/>
    <w:pPr>
      <w:pBdr>
        <w:bottom w:val="single" w:sz="8" w:space="0" w:color="8B0000"/>
      </w:pBdr>
      <w:spacing w:before="0" w:after="100"/>
      <w:ind w:left="68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9start">
    <w:name w:val="Pripominky_9_start"/>
    <w:pPr>
      <w:pBdr>
        <w:top w:val="single" w:sz="8" w:space="0" w:color="87CEFA"/>
      </w:pBdr>
      <w:spacing w:before="0" w:after="100"/>
      <w:ind w:left="68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0">
    <w:name w:val="10"/>
    <w:pPr>
      <w:overflowPunct/>
      <w:spacing w:before="57" w:after="227"/>
      <w:ind w:left="680" w:right="0" w:hanging="34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0start">
    <w:name w:val="Varianta_10_start"/>
    <w:pPr>
      <w:pBdr>
        <w:top w:val="single" w:sz="8" w:space="0" w:color="800080"/>
      </w:pBdr>
      <w:spacing w:before="0" w:after="100"/>
      <w:ind w:left="68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0konec">
    <w:name w:val="Varianta_10_konec"/>
    <w:pPr>
      <w:pBdr>
        <w:bottom w:val="single" w:sz="8" w:space="0" w:color="800080"/>
      </w:pBdr>
      <w:spacing w:before="0" w:after="100"/>
      <w:ind w:left="68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0start">
    <w:name w:val="Ucinnost_10_start"/>
    <w:pPr>
      <w:pBdr>
        <w:top w:val="single" w:sz="8" w:space="0" w:color="8B0000"/>
      </w:pBdr>
      <w:spacing w:before="0" w:after="100"/>
      <w:ind w:left="68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0konec">
    <w:name w:val="Ucinnost_10_konec"/>
    <w:pPr>
      <w:pBdr>
        <w:bottom w:val="single" w:sz="8" w:space="0" w:color="8B0000"/>
      </w:pBdr>
      <w:spacing w:before="0" w:after="100"/>
      <w:ind w:left="68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0start">
    <w:name w:val="Pripominky_10_start"/>
    <w:pPr>
      <w:pBdr>
        <w:top w:val="single" w:sz="8" w:space="0" w:color="87CEFA"/>
      </w:pBdr>
      <w:spacing w:before="0" w:after="100"/>
      <w:ind w:left="68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1">
    <w:name w:val="11"/>
    <w:pPr>
      <w:overflowPunct/>
      <w:spacing w:before="0" w:after="57"/>
      <w:ind w:left="510" w:right="0" w:hanging="51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1start">
    <w:name w:val="Varianta_11_start"/>
    <w:pPr>
      <w:pBdr>
        <w:top w:val="single" w:sz="8" w:space="0" w:color="80008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1konec">
    <w:name w:val="Varianta_11_konec"/>
    <w:pPr>
      <w:pBdr>
        <w:bottom w:val="single" w:sz="8" w:space="0" w:color="80008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1start">
    <w:name w:val="Ucinnost_11_start"/>
    <w:pPr>
      <w:pBdr>
        <w:top w:val="single" w:sz="8" w:space="0" w:color="8B000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1konec">
    <w:name w:val="Ucinnost_11_konec"/>
    <w:pPr>
      <w:pBdr>
        <w:bottom w:val="single" w:sz="8" w:space="0" w:color="8B000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1start">
    <w:name w:val="Pripominky_11_start"/>
    <w:pPr>
      <w:pBdr>
        <w:top w:val="single" w:sz="8" w:space="0" w:color="87CEFA"/>
      </w:pBdr>
      <w:spacing w:before="0" w:after="100"/>
      <w:ind w:left="51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2">
    <w:name w:val="12"/>
    <w:pPr>
      <w:overflowPunct/>
      <w:spacing w:before="0" w:after="57"/>
      <w:ind w:left="1190" w:right="0" w:hanging="34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2start">
    <w:name w:val="Varianta_12_start"/>
    <w:pPr>
      <w:pBdr>
        <w:top w:val="single" w:sz="8" w:space="0" w:color="80008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2konec">
    <w:name w:val="Varianta_12_konec"/>
    <w:pPr>
      <w:pBdr>
        <w:bottom w:val="single" w:sz="8" w:space="0" w:color="80008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2start">
    <w:name w:val="Ucinnost_12_start"/>
    <w:pPr>
      <w:pBdr>
        <w:top w:val="single" w:sz="8" w:space="0" w:color="8B000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2konec">
    <w:name w:val="Ucinnost_12_konec"/>
    <w:pPr>
      <w:pBdr>
        <w:bottom w:val="single" w:sz="8" w:space="0" w:color="8B000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2start">
    <w:name w:val="Pripominky_12_start"/>
    <w:pPr>
      <w:pBdr>
        <w:top w:val="single" w:sz="8" w:space="0" w:color="87CEFA"/>
      </w:pBdr>
      <w:spacing w:before="0" w:after="100"/>
      <w:ind w:left="119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3">
    <w:name w:val="13"/>
    <w:pPr>
      <w:overflowPunct/>
      <w:spacing w:before="57" w:after="57"/>
      <w:ind w:left="1190" w:right="0" w:hanging="34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3start">
    <w:name w:val="Varianta_13_start"/>
    <w:pPr>
      <w:pBdr>
        <w:top w:val="single" w:sz="8" w:space="0" w:color="80008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3konec">
    <w:name w:val="Varianta_13_konec"/>
    <w:pPr>
      <w:pBdr>
        <w:bottom w:val="single" w:sz="8" w:space="0" w:color="80008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3start">
    <w:name w:val="Ucinnost_13_start"/>
    <w:pPr>
      <w:pBdr>
        <w:top w:val="single" w:sz="8" w:space="0" w:color="8B000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3konec">
    <w:name w:val="Ucinnost_13_konec"/>
    <w:pPr>
      <w:pBdr>
        <w:bottom w:val="single" w:sz="8" w:space="0" w:color="8B000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3start">
    <w:name w:val="Pripominky_13_start"/>
    <w:pPr>
      <w:pBdr>
        <w:top w:val="single" w:sz="8" w:space="0" w:color="87CEFA"/>
      </w:pBdr>
      <w:spacing w:before="0" w:after="100"/>
      <w:ind w:left="119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character" w:customStyle="1" w:styleId="diff-text-green">
    <w:name w:val="diff-text-green"/>
    <w:basedOn w:val="DefaultParagraphFont"/>
  </w:style>
  <w:style w:type="character" w:customStyle="1" w:styleId="diff-strike-green">
    <w:name w:val="diff-strike-green"/>
    <w:basedOn w:val="DefaultParagraphFont"/>
  </w:style>
  <w:style w:type="paragraph" w:customStyle="1" w:styleId="14">
    <w:name w:val="14"/>
    <w:pPr>
      <w:overflowPunct/>
      <w:spacing w:before="57" w:after="227"/>
      <w:ind w:left="1190" w:right="0" w:hanging="34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4start">
    <w:name w:val="Varianta_14_start"/>
    <w:pPr>
      <w:pBdr>
        <w:top w:val="single" w:sz="8" w:space="0" w:color="80008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4konec">
    <w:name w:val="Varianta_14_konec"/>
    <w:pPr>
      <w:pBdr>
        <w:bottom w:val="single" w:sz="8" w:space="0" w:color="80008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4start">
    <w:name w:val="Ucinnost_14_start"/>
    <w:pPr>
      <w:pBdr>
        <w:top w:val="single" w:sz="8" w:space="0" w:color="8B000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4konec">
    <w:name w:val="Ucinnost_14_konec"/>
    <w:pPr>
      <w:pBdr>
        <w:bottom w:val="single" w:sz="8" w:space="0" w:color="8B0000"/>
      </w:pBdr>
      <w:spacing w:before="0" w:after="100"/>
      <w:ind w:left="119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4start">
    <w:name w:val="Pripominky_14_start"/>
    <w:pPr>
      <w:pBdr>
        <w:top w:val="single" w:sz="8" w:space="0" w:color="87CEFA"/>
      </w:pBdr>
      <w:spacing w:before="0" w:after="100"/>
      <w:ind w:left="119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5">
    <w:name w:val="15"/>
    <w:pPr>
      <w:overflowPunct/>
      <w:spacing w:before="0" w:after="113"/>
      <w:ind w:left="510" w:right="0" w:hanging="51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5start">
    <w:name w:val="Varianta_15_start"/>
    <w:pPr>
      <w:pBdr>
        <w:top w:val="single" w:sz="8" w:space="0" w:color="80008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5konec">
    <w:name w:val="Varianta_15_konec"/>
    <w:pPr>
      <w:pBdr>
        <w:bottom w:val="single" w:sz="8" w:space="0" w:color="80008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5start">
    <w:name w:val="Ucinnost_15_start"/>
    <w:pPr>
      <w:pBdr>
        <w:top w:val="single" w:sz="8" w:space="0" w:color="8B000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5konec">
    <w:name w:val="Ucinnost_15_konec"/>
    <w:pPr>
      <w:pBdr>
        <w:bottom w:val="single" w:sz="8" w:space="0" w:color="8B000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5start">
    <w:name w:val="Pripominky_15_start"/>
    <w:pPr>
      <w:pBdr>
        <w:top w:val="single" w:sz="8" w:space="0" w:color="87CEFA"/>
      </w:pBdr>
      <w:spacing w:before="0" w:after="100"/>
      <w:ind w:left="51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6">
    <w:name w:val="16"/>
    <w:pPr>
      <w:overflowPunct/>
      <w:spacing w:before="113" w:after="57"/>
      <w:ind w:left="510" w:right="0" w:hanging="51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Varianta16start">
    <w:name w:val="Varianta_16_start"/>
    <w:pPr>
      <w:pBdr>
        <w:top w:val="single" w:sz="8" w:space="0" w:color="80008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16konec">
    <w:name w:val="Varianta_16_konec"/>
    <w:pPr>
      <w:pBdr>
        <w:bottom w:val="single" w:sz="8" w:space="0" w:color="80008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16start">
    <w:name w:val="Ucinnost_16_start"/>
    <w:pPr>
      <w:pBdr>
        <w:top w:val="single" w:sz="8" w:space="0" w:color="8B000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16konec">
    <w:name w:val="Ucinnost_16_konec"/>
    <w:pPr>
      <w:pBdr>
        <w:bottom w:val="single" w:sz="8" w:space="0" w:color="8B0000"/>
      </w:pBdr>
      <w:spacing w:before="0" w:after="100"/>
      <w:ind w:left="510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16start">
    <w:name w:val="Pripominky_16_start"/>
    <w:pPr>
      <w:pBdr>
        <w:top w:val="single" w:sz="8" w:space="0" w:color="87CEFA"/>
      </w:pBdr>
      <w:spacing w:before="0" w:after="100"/>
      <w:ind w:left="510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  <w:style w:type="paragraph" w:customStyle="1" w:styleId="17">
    <w:name w:val="17"/>
    <w:pPr>
      <w:spacing w:before="57" w:after="57"/>
      <w:ind w:right="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18">
    <w:name w:val="18"/>
    <w:pPr>
      <w:spacing w:before="57" w:after="0"/>
      <w:ind w:right="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19">
    <w:name w:val="19"/>
    <w:pPr>
      <w:pBdr>
        <w:top w:val="single" w:sz="11" w:space="0" w:color="000000"/>
      </w:pBdr>
      <w:spacing w:before="510" w:after="57"/>
      <w:ind w:right="6236"/>
      <w:jc w:val="left"/>
    </w:pPr>
    <w:rPr>
      <w:rFonts w:ascii="Times New Roman" w:eastAsia="Times New Roman" w:hAnsi="Times New Roman" w:cs="Times New Roman"/>
      <w:sz w:val="18"/>
    </w:rPr>
  </w:style>
  <w:style w:type="paragraph" w:customStyle="1" w:styleId="20">
    <w:name w:val="20"/>
    <w:pPr>
      <w:overflowPunct/>
      <w:spacing w:before="57" w:after="170"/>
      <w:ind w:left="227" w:right="0" w:hanging="227"/>
      <w:jc w:val="left"/>
    </w:pPr>
    <w:rPr>
      <w:rFonts w:ascii="Times New Roman" w:eastAsia="Times New Roman" w:hAnsi="Times New Roman" w:cs="Times New Roman"/>
      <w:sz w:val="20"/>
    </w:rPr>
  </w:style>
  <w:style w:type="paragraph" w:customStyle="1" w:styleId="Varianta20start">
    <w:name w:val="Varianta_20_start"/>
    <w:pPr>
      <w:pBdr>
        <w:top w:val="single" w:sz="8" w:space="0" w:color="800080"/>
      </w:pBdr>
      <w:spacing w:before="0" w:after="100"/>
      <w:ind w:left="227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Varianta20konec">
    <w:name w:val="Varianta_20_konec"/>
    <w:pPr>
      <w:pBdr>
        <w:bottom w:val="single" w:sz="8" w:space="0" w:color="800080"/>
      </w:pBdr>
      <w:spacing w:before="0" w:after="100"/>
      <w:ind w:left="227"/>
      <w:jc w:val="left"/>
    </w:pPr>
    <w:rPr>
      <w:rFonts w:ascii="Times New Roman" w:eastAsia="Times New Roman" w:hAnsi="Times New Roman" w:cs="Times New Roman"/>
      <w:b/>
      <w:i/>
      <w:color w:val="800080"/>
      <w:sz w:val="20"/>
    </w:rPr>
  </w:style>
  <w:style w:type="paragraph" w:customStyle="1" w:styleId="Ucinnost20start">
    <w:name w:val="Ucinnost_20_start"/>
    <w:pPr>
      <w:pBdr>
        <w:top w:val="single" w:sz="8" w:space="0" w:color="8B0000"/>
      </w:pBdr>
      <w:spacing w:before="0" w:after="100"/>
      <w:ind w:left="227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Ucinnost20konec">
    <w:name w:val="Ucinnost_20_konec"/>
    <w:pPr>
      <w:pBdr>
        <w:bottom w:val="single" w:sz="8" w:space="0" w:color="8B0000"/>
      </w:pBdr>
      <w:spacing w:before="0" w:after="100"/>
      <w:ind w:left="227"/>
      <w:jc w:val="left"/>
    </w:pPr>
    <w:rPr>
      <w:rFonts w:ascii="Times New Roman" w:eastAsia="Times New Roman" w:hAnsi="Times New Roman" w:cs="Times New Roman"/>
      <w:b/>
      <w:i/>
      <w:color w:val="8B0000"/>
      <w:sz w:val="20"/>
    </w:rPr>
  </w:style>
  <w:style w:type="paragraph" w:customStyle="1" w:styleId="Pripominky20start">
    <w:name w:val="Pripominky_20_start"/>
    <w:pPr>
      <w:pBdr>
        <w:top w:val="single" w:sz="8" w:space="0" w:color="87CEFA"/>
      </w:pBdr>
      <w:spacing w:before="0" w:after="100"/>
      <w:ind w:left="227"/>
      <w:jc w:val="right"/>
    </w:pPr>
    <w:rPr>
      <w:rFonts w:ascii="Times New Roman" w:eastAsia="Times New Roman" w:hAnsi="Times New Roman" w:cs="Times New Roman"/>
      <w:b/>
      <w:i/>
      <w:color w:val="87CEF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Úplné znění aktu č. 362/2016 sb.</dc:title>
  <dc:creator>e-Legislativa</dc:creator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relationId">
    <vt:lpwstr>50620399-27b7-4865-85f8-f58c619d5006:740</vt:lpwstr>
  </property>
  <property fmtid="{D5CDD505-2E9C-101B-9397-08002B2CF9AE}" pid="3" name="GenerovaneZEditoru">
    <vt:lpwstr>true</vt:lpwstr>
  </property>
  <property fmtid="{D5CDD505-2E9C-101B-9397-08002B2CF9AE}" pid="4" name="IdPodprostoru">
    <vt:lpwstr/>
  </property>
  <property fmtid="{D5CDD505-2E9C-101B-9397-08002B2CF9AE}" pid="5" name="JeUzavrena">
    <vt:lpwstr/>
  </property>
  <property fmtid="{D5CDD505-2E9C-101B-9397-08002B2CF9AE}" pid="6" name="PozadavekId">
    <vt:lpwstr>6ba82970-3663-4117-9e38-738be7e4f798</vt:lpwstr>
  </property>
  <property fmtid="{D5CDD505-2E9C-101B-9397-08002B2CF9AE}" pid="7" name="Verze aplikace">
    <vt:lpwstr>v1.0-07.35.HF6</vt:lpwstr>
  </property>
  <property fmtid="{D5CDD505-2E9C-101B-9397-08002B2CF9AE}" pid="8" name="VrstvaNavrhuId">
    <vt:lpwstr/>
  </property>
  <property fmtid="{D5CDD505-2E9C-101B-9397-08002B2CF9AE}" pid="9" name="VrstvaObsahuId">
    <vt:lpwstr/>
  </property>
</Properties>
</file>